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2AE4" w14:textId="6C98D993" w:rsidR="00821D60" w:rsidRPr="00FA0091" w:rsidRDefault="00821D60" w:rsidP="00FD52DF">
      <w:pPr>
        <w:spacing w:line="360" w:lineRule="auto"/>
        <w:rPr>
          <w:lang w:val="lv-LV"/>
        </w:rPr>
      </w:pPr>
      <w:r w:rsidRPr="00FA0091">
        <w:rPr>
          <w:lang w:val="lv-LV"/>
        </w:rPr>
        <w:t>Arheoloģija un kultūras mantojums t</w:t>
      </w:r>
      <w:r w:rsidR="00FD52DF" w:rsidRPr="00FA0091">
        <w:rPr>
          <w:lang w:val="lv-LV"/>
        </w:rPr>
        <w:t>ipiski tiek uztverts kā nacionā</w:t>
      </w:r>
      <w:r w:rsidRPr="00FA0091">
        <w:rPr>
          <w:lang w:val="lv-LV"/>
        </w:rPr>
        <w:t>l</w:t>
      </w:r>
      <w:r w:rsidR="00344628" w:rsidRPr="00FA0091">
        <w:rPr>
          <w:lang w:val="lv-LV"/>
        </w:rPr>
        <w:t>s</w:t>
      </w:r>
      <w:r w:rsidRPr="00FA0091">
        <w:rPr>
          <w:lang w:val="lv-LV"/>
        </w:rPr>
        <w:t xml:space="preserve"> jautājums</w:t>
      </w:r>
      <w:r w:rsidR="00344628" w:rsidRPr="00FA0091">
        <w:rPr>
          <w:lang w:val="lv-LV"/>
        </w:rPr>
        <w:t>, t</w:t>
      </w:r>
      <w:r w:rsidRPr="00FA0091">
        <w:rPr>
          <w:lang w:val="lv-LV"/>
        </w:rPr>
        <w:t>aču, ņemo</w:t>
      </w:r>
      <w:r w:rsidR="00FA0091">
        <w:rPr>
          <w:lang w:val="lv-LV"/>
        </w:rPr>
        <w:t>t</w:t>
      </w:r>
      <w:r w:rsidRPr="00FA0091">
        <w:rPr>
          <w:lang w:val="lv-LV"/>
        </w:rPr>
        <w:t xml:space="preserve"> vērā atvērtās robežas un citu</w:t>
      </w:r>
      <w:r w:rsidR="00344628" w:rsidRPr="00FA0091">
        <w:rPr>
          <w:lang w:val="lv-LV"/>
        </w:rPr>
        <w:t>s ES kopējas politikas aspektus,</w:t>
      </w:r>
      <w:r w:rsidR="00FD52DF" w:rsidRPr="00FA0091">
        <w:rPr>
          <w:lang w:val="lv-LV"/>
        </w:rPr>
        <w:t xml:space="preserve"> </w:t>
      </w:r>
      <w:r w:rsidRPr="00FA0091">
        <w:rPr>
          <w:lang w:val="lv-LV"/>
        </w:rPr>
        <w:t xml:space="preserve">daudzus kultūras mantojumam </w:t>
      </w:r>
      <w:r w:rsidR="00344628" w:rsidRPr="00FA0091">
        <w:rPr>
          <w:lang w:val="lv-LV"/>
        </w:rPr>
        <w:t xml:space="preserve">būtiskus </w:t>
      </w:r>
      <w:r w:rsidRPr="00FA0091">
        <w:rPr>
          <w:lang w:val="lv-LV"/>
        </w:rPr>
        <w:t>jautājumus ir svarīgi risināt ne tikai nacionālā, bet</w:t>
      </w:r>
      <w:r w:rsidR="00344628" w:rsidRPr="00FA0091">
        <w:rPr>
          <w:lang w:val="lv-LV"/>
        </w:rPr>
        <w:t xml:space="preserve"> arī</w:t>
      </w:r>
      <w:r w:rsidRPr="00FA0091">
        <w:rPr>
          <w:lang w:val="lv-LV"/>
        </w:rPr>
        <w:t xml:space="preserve"> </w:t>
      </w:r>
      <w:r w:rsidR="00344628" w:rsidRPr="00FA0091">
        <w:rPr>
          <w:lang w:val="lv-LV"/>
        </w:rPr>
        <w:t>ES</w:t>
      </w:r>
      <w:r w:rsidRPr="00FA0091">
        <w:rPr>
          <w:lang w:val="lv-LV"/>
        </w:rPr>
        <w:t xml:space="preserve"> līmenī. Tādēļ, ņemot vērā Eiropas Parlamenta vēlēšanu tuvošanos, Eiropas Arheologu Asociācija izstrādāja dokumentu “Kritēriji arheoloģijai un kultūras mantojuma aizsardzībai 2019.–2024. gadā”</w:t>
      </w:r>
      <w:r w:rsidR="00FD52DF" w:rsidRPr="00FA0091">
        <w:rPr>
          <w:lang w:val="lv-LV"/>
        </w:rPr>
        <w:t xml:space="preserve">. </w:t>
      </w:r>
      <w:r w:rsidR="00344628" w:rsidRPr="00FA0091">
        <w:rPr>
          <w:lang w:val="lv-LV"/>
        </w:rPr>
        <w:t>Dokuments</w:t>
      </w:r>
      <w:r w:rsidR="00FD52DF" w:rsidRPr="00FA0091">
        <w:rPr>
          <w:lang w:val="lv-LV"/>
        </w:rPr>
        <w:t xml:space="preserve"> ietver </w:t>
      </w:r>
      <w:r w:rsidRPr="00FA0091">
        <w:rPr>
          <w:lang w:val="lv-LV"/>
        </w:rPr>
        <w:t xml:space="preserve">tēmas, ko ir svarīgi saskaņot un/vai risināt </w:t>
      </w:r>
      <w:r w:rsidR="00344628" w:rsidRPr="00FA0091">
        <w:rPr>
          <w:lang w:val="lv-LV"/>
        </w:rPr>
        <w:t>ES institūciju</w:t>
      </w:r>
      <w:r w:rsidRPr="00FA0091">
        <w:rPr>
          <w:lang w:val="lv-LV"/>
        </w:rPr>
        <w:t xml:space="preserve"> līmenī. Šogad</w:t>
      </w:r>
      <w:r w:rsidR="00344628" w:rsidRPr="00FA0091">
        <w:rPr>
          <w:lang w:val="lv-LV"/>
        </w:rPr>
        <w:t>,</w:t>
      </w:r>
      <w:r w:rsidRPr="00FA0091">
        <w:rPr>
          <w:lang w:val="lv-LV"/>
        </w:rPr>
        <w:t xml:space="preserve"> izdarot izvēli par kuru partiju balsot</w:t>
      </w:r>
      <w:r w:rsidR="00FD52DF" w:rsidRPr="00FA0091">
        <w:rPr>
          <w:lang w:val="lv-LV"/>
        </w:rPr>
        <w:t xml:space="preserve"> Eiropas </w:t>
      </w:r>
      <w:r w:rsidR="00344628" w:rsidRPr="00FA0091">
        <w:rPr>
          <w:lang w:val="lv-LV"/>
        </w:rPr>
        <w:t>Parlamenta vēlēšanās</w:t>
      </w:r>
      <w:r w:rsidRPr="00FA0091">
        <w:rPr>
          <w:lang w:val="lv-LV"/>
        </w:rPr>
        <w:t xml:space="preserve">, ir svarīgi zināt kāda ir šo partiju nostāja nākamajos gados gaidāmajās Eiropas Parlamenta debatēs </w:t>
      </w:r>
      <w:r w:rsidR="00FD52DF" w:rsidRPr="00FA0091">
        <w:rPr>
          <w:lang w:val="lv-LV"/>
        </w:rPr>
        <w:t xml:space="preserve">par kultūras mantojuma un arheoloģisko senlietu </w:t>
      </w:r>
      <w:r w:rsidR="00344628" w:rsidRPr="00FA0091">
        <w:rPr>
          <w:lang w:val="lv-LV"/>
        </w:rPr>
        <w:t>aizsardzību</w:t>
      </w:r>
      <w:r w:rsidRPr="00FA0091">
        <w:rPr>
          <w:lang w:val="lv-LV"/>
        </w:rPr>
        <w:t xml:space="preserve">. </w:t>
      </w:r>
    </w:p>
    <w:p w14:paraId="0B766997" w14:textId="1AA466EA" w:rsidR="00821D60" w:rsidRPr="00FA0091" w:rsidRDefault="00821D60" w:rsidP="006C58EB">
      <w:pPr>
        <w:spacing w:line="360" w:lineRule="auto"/>
        <w:rPr>
          <w:lang w:val="lv-LV"/>
        </w:rPr>
      </w:pPr>
      <w:r w:rsidRPr="00FA0091">
        <w:rPr>
          <w:lang w:val="lv-LV"/>
        </w:rPr>
        <w:t>Latvijas Arheo</w:t>
      </w:r>
      <w:r w:rsidR="00FA0091">
        <w:rPr>
          <w:lang w:val="lv-LV"/>
        </w:rPr>
        <w:t>l</w:t>
      </w:r>
      <w:r w:rsidRPr="00FA0091">
        <w:rPr>
          <w:lang w:val="lv-LV"/>
        </w:rPr>
        <w:t>ogu biedrība izsūtīja vēlēša</w:t>
      </w:r>
      <w:r w:rsidR="00344628" w:rsidRPr="00FA0091">
        <w:rPr>
          <w:lang w:val="lv-LV"/>
        </w:rPr>
        <w:t>n</w:t>
      </w:r>
      <w:r w:rsidRPr="00FA0091">
        <w:rPr>
          <w:lang w:val="lv-LV"/>
        </w:rPr>
        <w:t xml:space="preserve">u kritērijus visām partijām, kas </w:t>
      </w:r>
      <w:r w:rsidR="00344628" w:rsidRPr="00FA0091">
        <w:rPr>
          <w:lang w:val="lv-LV"/>
        </w:rPr>
        <w:t xml:space="preserve">šoreiz </w:t>
      </w:r>
      <w:r w:rsidR="00FD52DF" w:rsidRPr="00FA0091">
        <w:rPr>
          <w:lang w:val="lv-LV"/>
        </w:rPr>
        <w:t>izvēlējušās</w:t>
      </w:r>
      <w:r w:rsidRPr="00FA0091">
        <w:rPr>
          <w:lang w:val="lv-LV"/>
        </w:rPr>
        <w:t xml:space="preserve"> kandidē</w:t>
      </w:r>
      <w:r w:rsidR="00FD52DF" w:rsidRPr="00FA0091">
        <w:rPr>
          <w:lang w:val="lv-LV"/>
        </w:rPr>
        <w:t>t</w:t>
      </w:r>
      <w:r w:rsidRPr="00FA0091">
        <w:rPr>
          <w:lang w:val="lv-LV"/>
        </w:rPr>
        <w:t xml:space="preserve"> Eiropas </w:t>
      </w:r>
      <w:r w:rsidR="00344628" w:rsidRPr="00FA0091">
        <w:rPr>
          <w:lang w:val="lv-LV"/>
        </w:rPr>
        <w:t>Parlamenta vēlēšanās</w:t>
      </w:r>
      <w:r w:rsidRPr="00FA0091">
        <w:rPr>
          <w:lang w:val="lv-LV"/>
        </w:rPr>
        <w:t>. Nosūtītie jautājumi un tos ietverošais kontekst</w:t>
      </w:r>
      <w:r w:rsidR="00FA0091">
        <w:rPr>
          <w:lang w:val="lv-LV"/>
        </w:rPr>
        <w:t>s</w:t>
      </w:r>
      <w:r w:rsidR="006C58EB" w:rsidRPr="00FA0091">
        <w:rPr>
          <w:lang w:val="lv-LV"/>
        </w:rPr>
        <w:t xml:space="preserve"> </w:t>
      </w:r>
      <w:r w:rsidR="00344628" w:rsidRPr="00FA0091">
        <w:rPr>
          <w:lang w:val="lv-LV"/>
        </w:rPr>
        <w:t>( “Kritēriji arheoloģijai un kultūras mantojuma aizsardzībai 2019.–2024. gadā” teksts latviešu valodā)</w:t>
      </w:r>
      <w:r w:rsidRPr="00FA0091">
        <w:rPr>
          <w:lang w:val="lv-LV"/>
        </w:rPr>
        <w:t xml:space="preserve"> ir atrodami p</w:t>
      </w:r>
      <w:r w:rsidR="00344628" w:rsidRPr="00FA0091">
        <w:rPr>
          <w:lang w:val="lv-LV"/>
        </w:rPr>
        <w:t>iel</w:t>
      </w:r>
      <w:r w:rsidRPr="00FA0091">
        <w:rPr>
          <w:lang w:val="lv-LV"/>
        </w:rPr>
        <w:t xml:space="preserve">ikumā. Atbildes </w:t>
      </w:r>
      <w:r w:rsidR="00344628" w:rsidRPr="00FA0091">
        <w:rPr>
          <w:lang w:val="lv-LV"/>
        </w:rPr>
        <w:t>sniegušas</w:t>
      </w:r>
      <w:r w:rsidRPr="00FA0091">
        <w:rPr>
          <w:lang w:val="lv-LV"/>
        </w:rPr>
        <w:t xml:space="preserve"> trīs kandidējoš</w:t>
      </w:r>
      <w:r w:rsidR="006C58EB" w:rsidRPr="00FA0091">
        <w:rPr>
          <w:lang w:val="lv-LV"/>
        </w:rPr>
        <w:t>ā</w:t>
      </w:r>
      <w:r w:rsidR="00344628" w:rsidRPr="00FA0091">
        <w:rPr>
          <w:lang w:val="lv-LV"/>
        </w:rPr>
        <w:t>s</w:t>
      </w:r>
      <w:r w:rsidRPr="00FA0091">
        <w:rPr>
          <w:lang w:val="lv-LV"/>
        </w:rPr>
        <w:t xml:space="preserve"> </w:t>
      </w:r>
      <w:r w:rsidR="00344628" w:rsidRPr="00FA0091">
        <w:rPr>
          <w:lang w:val="lv-LV"/>
        </w:rPr>
        <w:t>partijas</w:t>
      </w:r>
      <w:r w:rsidRPr="00FA0091">
        <w:rPr>
          <w:lang w:val="lv-LV"/>
        </w:rPr>
        <w:t xml:space="preserve">: Nacionālā apvienība "Visu Latvijai!"-"Tēvzemei un Brīvībai/LNNK", Atmoda un Jaunā VIENOTĪBA. Atbilžu </w:t>
      </w:r>
      <w:r w:rsidR="00344628" w:rsidRPr="00FA0091">
        <w:rPr>
          <w:lang w:val="lv-LV"/>
        </w:rPr>
        <w:t xml:space="preserve">apkopojums </w:t>
      </w:r>
      <w:r w:rsidRPr="00FA0091">
        <w:rPr>
          <w:lang w:val="lv-LV"/>
        </w:rPr>
        <w:t xml:space="preserve">apskatāms tabulā, pilno </w:t>
      </w:r>
      <w:r w:rsidR="00FD52DF" w:rsidRPr="00FA0091">
        <w:rPr>
          <w:lang w:val="lv-LV"/>
        </w:rPr>
        <w:t xml:space="preserve">atbilžu </w:t>
      </w:r>
      <w:r w:rsidRPr="00FA0091">
        <w:rPr>
          <w:lang w:val="lv-LV"/>
        </w:rPr>
        <w:t>izklāstu var izlasīt pievienotajos dokumentos.</w:t>
      </w:r>
      <w:r w:rsidR="006C58EB" w:rsidRPr="00FA0091">
        <w:rPr>
          <w:lang w:val="lv-LV"/>
        </w:rPr>
        <w:t xml:space="preserve"> No  p</w:t>
      </w:r>
      <w:r w:rsidR="00FA0091">
        <w:rPr>
          <w:lang w:val="lv-LV"/>
        </w:rPr>
        <w:t>a</w:t>
      </w:r>
      <w:bookmarkStart w:id="0" w:name="_GoBack"/>
      <w:bookmarkEnd w:id="0"/>
      <w:r w:rsidR="006C58EB" w:rsidRPr="00FA0091">
        <w:rPr>
          <w:lang w:val="lv-LV"/>
        </w:rPr>
        <w:t>rtijām - Latvijas Krievu savienība, Latviešu nacionālisti, Latvijas Reģionu Apvienība, Zaļo un Zemnieku savienība, KPV LV, PROGRESĪVIE, Jaunā Saskaņa, Jaunā konservatīvā partija, Saskaņa, Centra partija,  Latvijas Sociāldemokrātiskā strādnieku partija – atbildes iegūt neizdevās.</w:t>
      </w:r>
    </w:p>
    <w:p w14:paraId="58BD6F24" w14:textId="77777777" w:rsidR="00821D60" w:rsidRPr="00FA0091" w:rsidRDefault="00821D60">
      <w:pPr>
        <w:rPr>
          <w:lang w:val="lv-LV"/>
        </w:rPr>
      </w:pPr>
    </w:p>
    <w:tbl>
      <w:tblPr>
        <w:tblStyle w:val="GridTable5Dark-Accent11"/>
        <w:tblpPr w:leftFromText="180" w:rightFromText="180" w:vertAnchor="text" w:horzAnchor="page" w:tblpX="1065" w:tblpY="-719"/>
        <w:tblW w:w="15388" w:type="dxa"/>
        <w:tblLook w:val="04A0" w:firstRow="1" w:lastRow="0" w:firstColumn="1" w:lastColumn="0" w:noHBand="0" w:noVBand="1"/>
      </w:tblPr>
      <w:tblGrid>
        <w:gridCol w:w="2619"/>
        <w:gridCol w:w="1593"/>
        <w:gridCol w:w="1879"/>
        <w:gridCol w:w="1748"/>
        <w:gridCol w:w="2275"/>
        <w:gridCol w:w="1743"/>
        <w:gridCol w:w="1892"/>
        <w:gridCol w:w="1639"/>
      </w:tblGrid>
      <w:tr w:rsidR="00FD52DF" w:rsidRPr="00FA0091" w14:paraId="0B05A669" w14:textId="77777777" w:rsidTr="00821D6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12" w:type="dxa"/>
            <w:vMerge w:val="restart"/>
            <w:vAlign w:val="center"/>
          </w:tcPr>
          <w:p w14:paraId="765D9523" w14:textId="77777777" w:rsidR="00821D60" w:rsidRPr="00FA0091" w:rsidRDefault="00821D60" w:rsidP="00821D60">
            <w:pPr>
              <w:rPr>
                <w:lang w:val="lv-LV"/>
              </w:rPr>
            </w:pPr>
          </w:p>
        </w:tc>
        <w:tc>
          <w:tcPr>
            <w:tcW w:w="1595" w:type="dxa"/>
            <w:vMerge w:val="restart"/>
            <w:vAlign w:val="center"/>
          </w:tcPr>
          <w:p w14:paraId="7F2F507A" w14:textId="77777777" w:rsidR="00821D60" w:rsidRPr="00FA0091" w:rsidRDefault="00821D60" w:rsidP="00821D60">
            <w:pPr>
              <w:jc w:val="center"/>
              <w:cnfStyle w:val="100000000000" w:firstRow="1" w:lastRow="0" w:firstColumn="0" w:lastColumn="0" w:oddVBand="0" w:evenVBand="0" w:oddHBand="0" w:evenHBand="0" w:firstRowFirstColumn="0" w:firstRowLastColumn="0" w:lastRowFirstColumn="0" w:lastRowLastColumn="0"/>
              <w:rPr>
                <w:lang w:val="lv-LV"/>
              </w:rPr>
            </w:pPr>
            <w:r w:rsidRPr="00FA0091">
              <w:rPr>
                <w:lang w:val="lv-LV"/>
              </w:rPr>
              <w:t>Vēsturisko ainavu aizsardzība plānošanas procesos</w:t>
            </w:r>
          </w:p>
        </w:tc>
        <w:tc>
          <w:tcPr>
            <w:tcW w:w="1875" w:type="dxa"/>
            <w:vMerge w:val="restart"/>
            <w:vAlign w:val="center"/>
          </w:tcPr>
          <w:p w14:paraId="552F66C2" w14:textId="77777777" w:rsidR="00821D60" w:rsidRPr="00FA0091" w:rsidRDefault="00821D60" w:rsidP="00821D60">
            <w:pPr>
              <w:jc w:val="center"/>
              <w:cnfStyle w:val="100000000000" w:firstRow="1" w:lastRow="0" w:firstColumn="0" w:lastColumn="0" w:oddVBand="0" w:evenVBand="0" w:oddHBand="0" w:evenHBand="0" w:firstRowFirstColumn="0" w:firstRowLastColumn="0" w:lastRowFirstColumn="0" w:lastRowLastColumn="0"/>
              <w:rPr>
                <w:lang w:val="lv-LV"/>
              </w:rPr>
            </w:pPr>
            <w:r w:rsidRPr="00FA0091">
              <w:rPr>
                <w:lang w:val="lv-LV"/>
              </w:rPr>
              <w:t>Kultūras mantojuma integrēšana ES kopējā lauksaimniecības politikā</w:t>
            </w:r>
          </w:p>
        </w:tc>
        <w:tc>
          <w:tcPr>
            <w:tcW w:w="5647" w:type="dxa"/>
            <w:gridSpan w:val="3"/>
            <w:tcBorders>
              <w:bottom w:val="single" w:sz="4" w:space="0" w:color="auto"/>
            </w:tcBorders>
            <w:vAlign w:val="center"/>
          </w:tcPr>
          <w:p w14:paraId="168605DB" w14:textId="77777777" w:rsidR="00821D60" w:rsidRPr="00FA0091" w:rsidRDefault="00821D60" w:rsidP="00821D60">
            <w:pPr>
              <w:jc w:val="center"/>
              <w:cnfStyle w:val="100000000000" w:firstRow="1" w:lastRow="0" w:firstColumn="0" w:lastColumn="0" w:oddVBand="0" w:evenVBand="0" w:oddHBand="0" w:evenHBand="0" w:firstRowFirstColumn="0" w:firstRowLastColumn="0" w:lastRowFirstColumn="0" w:lastRowLastColumn="0"/>
              <w:rPr>
                <w:lang w:val="lv-LV"/>
              </w:rPr>
            </w:pPr>
            <w:r w:rsidRPr="00FA0091">
              <w:rPr>
                <w:lang w:val="lv-LV"/>
              </w:rPr>
              <w:t>Senlietu nelikumīgas tirdzniecības novēršana</w:t>
            </w:r>
          </w:p>
        </w:tc>
        <w:tc>
          <w:tcPr>
            <w:tcW w:w="1908" w:type="dxa"/>
            <w:vMerge w:val="restart"/>
            <w:vAlign w:val="center"/>
          </w:tcPr>
          <w:p w14:paraId="2E9B732F" w14:textId="77777777" w:rsidR="00821D60" w:rsidRPr="00FA0091" w:rsidRDefault="00821D60" w:rsidP="00821D60">
            <w:pPr>
              <w:jc w:val="center"/>
              <w:cnfStyle w:val="100000000000" w:firstRow="1" w:lastRow="0" w:firstColumn="0" w:lastColumn="0" w:oddVBand="0" w:evenVBand="0" w:oddHBand="0" w:evenHBand="0" w:firstRowFirstColumn="0" w:firstRowLastColumn="0" w:lastRowFirstColumn="0" w:lastRowLastColumn="0"/>
              <w:rPr>
                <w:lang w:val="lv-LV"/>
              </w:rPr>
            </w:pPr>
            <w:r w:rsidRPr="00FA0091">
              <w:rPr>
                <w:lang w:val="lv-LV"/>
              </w:rPr>
              <w:t>Pārrobežu mobilitātes veicināšana</w:t>
            </w:r>
          </w:p>
        </w:tc>
        <w:tc>
          <w:tcPr>
            <w:tcW w:w="1651" w:type="dxa"/>
            <w:vMerge w:val="restart"/>
            <w:vAlign w:val="center"/>
          </w:tcPr>
          <w:p w14:paraId="1C9E96A3" w14:textId="77777777" w:rsidR="00821D60" w:rsidRPr="00FA0091" w:rsidRDefault="00821D60" w:rsidP="00821D60">
            <w:pPr>
              <w:jc w:val="center"/>
              <w:cnfStyle w:val="100000000000" w:firstRow="1" w:lastRow="0" w:firstColumn="0" w:lastColumn="0" w:oddVBand="0" w:evenVBand="0" w:oddHBand="0" w:evenHBand="0" w:firstRowFirstColumn="0" w:firstRowLastColumn="0" w:lastRowFirstColumn="0" w:lastRowLastColumn="0"/>
              <w:rPr>
                <w:lang w:val="lv-LV"/>
              </w:rPr>
            </w:pPr>
            <w:r w:rsidRPr="00FA0091">
              <w:rPr>
                <w:lang w:val="lv-LV"/>
              </w:rPr>
              <w:t>Kultūras mantojuma attēlu atvērta licencēšana no valsts un bezpeļņas institūciju puses</w:t>
            </w:r>
          </w:p>
        </w:tc>
      </w:tr>
      <w:tr w:rsidR="00FD52DF" w:rsidRPr="00FA0091" w14:paraId="12E02E12" w14:textId="77777777" w:rsidTr="00821D60">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712" w:type="dxa"/>
            <w:vMerge/>
            <w:vAlign w:val="center"/>
          </w:tcPr>
          <w:p w14:paraId="72CDD0A6" w14:textId="77777777" w:rsidR="00821D60" w:rsidRPr="00FA0091" w:rsidRDefault="00821D60" w:rsidP="00821D60">
            <w:pPr>
              <w:rPr>
                <w:lang w:val="lv-LV"/>
              </w:rPr>
            </w:pPr>
          </w:p>
        </w:tc>
        <w:tc>
          <w:tcPr>
            <w:tcW w:w="1595" w:type="dxa"/>
            <w:vMerge/>
            <w:vAlign w:val="center"/>
          </w:tcPr>
          <w:p w14:paraId="5CCA6D95"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p>
        </w:tc>
        <w:tc>
          <w:tcPr>
            <w:tcW w:w="1875" w:type="dxa"/>
            <w:vMerge/>
            <w:vAlign w:val="center"/>
          </w:tcPr>
          <w:p w14:paraId="5CDAE1F1"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p>
        </w:tc>
        <w:tc>
          <w:tcPr>
            <w:tcW w:w="1685" w:type="dxa"/>
            <w:tcBorders>
              <w:top w:val="single" w:sz="4" w:space="0" w:color="auto"/>
            </w:tcBorders>
            <w:vAlign w:val="center"/>
          </w:tcPr>
          <w:p w14:paraId="541ABB35"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r w:rsidRPr="00FA0091">
              <w:rPr>
                <w:lang w:val="lv-LV"/>
              </w:rPr>
              <w:t>Īpašumtiesības</w:t>
            </w:r>
          </w:p>
        </w:tc>
        <w:tc>
          <w:tcPr>
            <w:tcW w:w="2217" w:type="dxa"/>
            <w:tcBorders>
              <w:top w:val="single" w:sz="4" w:space="0" w:color="auto"/>
            </w:tcBorders>
            <w:vAlign w:val="center"/>
          </w:tcPr>
          <w:p w14:paraId="208CC63C"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r w:rsidRPr="00FA0091">
              <w:rPr>
                <w:lang w:val="lv-LV"/>
              </w:rPr>
              <w:t>Metāla detektoru izmantošana</w:t>
            </w:r>
          </w:p>
        </w:tc>
        <w:tc>
          <w:tcPr>
            <w:tcW w:w="1745" w:type="dxa"/>
            <w:tcBorders>
              <w:top w:val="single" w:sz="4" w:space="0" w:color="auto"/>
            </w:tcBorders>
            <w:vAlign w:val="center"/>
          </w:tcPr>
          <w:p w14:paraId="539DA770"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r w:rsidRPr="00FA0091">
              <w:rPr>
                <w:lang w:val="lv-LV"/>
              </w:rPr>
              <w:t>Praktiska īstenošana</w:t>
            </w:r>
          </w:p>
        </w:tc>
        <w:tc>
          <w:tcPr>
            <w:tcW w:w="1908" w:type="dxa"/>
            <w:vMerge/>
            <w:vAlign w:val="center"/>
          </w:tcPr>
          <w:p w14:paraId="622D6401"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p>
        </w:tc>
        <w:tc>
          <w:tcPr>
            <w:tcW w:w="1651" w:type="dxa"/>
            <w:vMerge/>
          </w:tcPr>
          <w:p w14:paraId="02625EEC"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p>
        </w:tc>
      </w:tr>
      <w:tr w:rsidR="00FD52DF" w:rsidRPr="00FA0091" w14:paraId="41404770" w14:textId="77777777" w:rsidTr="006C58EB">
        <w:tc>
          <w:tcPr>
            <w:cnfStyle w:val="001000000000" w:firstRow="0" w:lastRow="0" w:firstColumn="1" w:lastColumn="0" w:oddVBand="0" w:evenVBand="0" w:oddHBand="0" w:evenHBand="0" w:firstRowFirstColumn="0" w:firstRowLastColumn="0" w:lastRowFirstColumn="0" w:lastRowLastColumn="0"/>
            <w:tcW w:w="2712" w:type="dxa"/>
            <w:vAlign w:val="center"/>
          </w:tcPr>
          <w:p w14:paraId="3D543412" w14:textId="77777777" w:rsidR="00821D60" w:rsidRPr="00FA0091" w:rsidRDefault="00821D60" w:rsidP="00821D60">
            <w:pPr>
              <w:rPr>
                <w:lang w:val="lv-LV"/>
              </w:rPr>
            </w:pPr>
          </w:p>
        </w:tc>
        <w:tc>
          <w:tcPr>
            <w:tcW w:w="1595" w:type="dxa"/>
            <w:shd w:val="clear" w:color="auto" w:fill="9CC2E5" w:themeFill="accent1" w:themeFillTint="99"/>
            <w:vAlign w:val="center"/>
          </w:tcPr>
          <w:p w14:paraId="625E649D" w14:textId="77777777" w:rsidR="00821D60" w:rsidRPr="00FA0091" w:rsidRDefault="00821D60" w:rsidP="00821D60">
            <w:pPr>
              <w:cnfStyle w:val="000000000000" w:firstRow="0" w:lastRow="0" w:firstColumn="0" w:lastColumn="0" w:oddVBand="0" w:evenVBand="0" w:oddHBand="0" w:evenHBand="0" w:firstRowFirstColumn="0" w:firstRowLastColumn="0" w:lastRowFirstColumn="0" w:lastRowLastColumn="0"/>
              <w:rPr>
                <w:b/>
                <w:i/>
                <w:lang w:val="lv-LV"/>
              </w:rPr>
            </w:pPr>
            <w:r w:rsidRPr="00FA0091">
              <w:rPr>
                <w:b/>
                <w:i/>
                <w:lang w:val="lv-LV"/>
              </w:rPr>
              <w:t>Skatījums uz ES vēsturiskās ainavas aizsardzību infrastruktūras un apbūves attīstības kontekstā.</w:t>
            </w:r>
          </w:p>
        </w:tc>
        <w:tc>
          <w:tcPr>
            <w:tcW w:w="1875" w:type="dxa"/>
            <w:shd w:val="clear" w:color="auto" w:fill="9CC2E5" w:themeFill="accent1" w:themeFillTint="99"/>
            <w:vAlign w:val="center"/>
          </w:tcPr>
          <w:p w14:paraId="5A46BF37" w14:textId="77777777" w:rsidR="00821D60" w:rsidRPr="00FA0091" w:rsidRDefault="00821D60" w:rsidP="00821D60">
            <w:pPr>
              <w:cnfStyle w:val="000000000000" w:firstRow="0" w:lastRow="0" w:firstColumn="0" w:lastColumn="0" w:oddVBand="0" w:evenVBand="0" w:oddHBand="0" w:evenHBand="0" w:firstRowFirstColumn="0" w:firstRowLastColumn="0" w:lastRowFirstColumn="0" w:lastRowLastColumn="0"/>
              <w:rPr>
                <w:b/>
                <w:i/>
                <w:lang w:val="lv-LV"/>
              </w:rPr>
            </w:pPr>
            <w:r w:rsidRPr="00FA0091">
              <w:rPr>
                <w:b/>
                <w:i/>
                <w:lang w:val="lv-LV"/>
              </w:rPr>
              <w:t>Skatījums uz vēsturiskās ainavas saglabāšanu lauksaimniecības/ mežizstrādes kontekstā.</w:t>
            </w:r>
          </w:p>
        </w:tc>
        <w:tc>
          <w:tcPr>
            <w:tcW w:w="1685" w:type="dxa"/>
            <w:shd w:val="clear" w:color="auto" w:fill="9CC2E5" w:themeFill="accent1" w:themeFillTint="99"/>
            <w:vAlign w:val="center"/>
          </w:tcPr>
          <w:p w14:paraId="67227533" w14:textId="77777777" w:rsidR="00821D60" w:rsidRPr="00FA0091" w:rsidRDefault="00821D60" w:rsidP="00821D60">
            <w:pPr>
              <w:cnfStyle w:val="000000000000" w:firstRow="0" w:lastRow="0" w:firstColumn="0" w:lastColumn="0" w:oddVBand="0" w:evenVBand="0" w:oddHBand="0" w:evenHBand="0" w:firstRowFirstColumn="0" w:firstRowLastColumn="0" w:lastRowFirstColumn="0" w:lastRowLastColumn="0"/>
              <w:rPr>
                <w:b/>
                <w:i/>
                <w:lang w:val="lv-LV"/>
              </w:rPr>
            </w:pPr>
            <w:r w:rsidRPr="00FA0091">
              <w:rPr>
                <w:b/>
                <w:i/>
                <w:lang w:val="lv-LV"/>
              </w:rPr>
              <w:t>Nostāja jautājumā par īpašumtiesībām uz arheoloģiskajām senlietām.</w:t>
            </w:r>
          </w:p>
        </w:tc>
        <w:tc>
          <w:tcPr>
            <w:tcW w:w="2217" w:type="dxa"/>
            <w:shd w:val="clear" w:color="auto" w:fill="9CC2E5" w:themeFill="accent1" w:themeFillTint="99"/>
            <w:vAlign w:val="center"/>
          </w:tcPr>
          <w:p w14:paraId="2FF705A9" w14:textId="77777777" w:rsidR="00821D60" w:rsidRPr="00FA0091" w:rsidRDefault="00821D60" w:rsidP="00821D60">
            <w:pPr>
              <w:cnfStyle w:val="000000000000" w:firstRow="0" w:lastRow="0" w:firstColumn="0" w:lastColumn="0" w:oddVBand="0" w:evenVBand="0" w:oddHBand="0" w:evenHBand="0" w:firstRowFirstColumn="0" w:firstRowLastColumn="0" w:lastRowFirstColumn="0" w:lastRowLastColumn="0"/>
              <w:rPr>
                <w:b/>
                <w:i/>
                <w:lang w:val="lv-LV"/>
              </w:rPr>
            </w:pPr>
            <w:r w:rsidRPr="00FA0091">
              <w:rPr>
                <w:b/>
                <w:i/>
                <w:lang w:val="lv-LV"/>
              </w:rPr>
              <w:t xml:space="preserve">Nostāja jautājumā par </w:t>
            </w:r>
            <w:proofErr w:type="spellStart"/>
            <w:r w:rsidRPr="00FA0091">
              <w:rPr>
                <w:b/>
                <w:i/>
                <w:lang w:val="lv-LV"/>
              </w:rPr>
              <w:t>metāldetektoru</w:t>
            </w:r>
            <w:proofErr w:type="spellEnd"/>
            <w:r w:rsidRPr="00FA0091">
              <w:rPr>
                <w:b/>
                <w:i/>
                <w:lang w:val="lv-LV"/>
              </w:rPr>
              <w:t xml:space="preserve"> izmantošanu arheoloģiskajos objektos/arheoloģisko senlietu meklēšanā.</w:t>
            </w:r>
          </w:p>
        </w:tc>
        <w:tc>
          <w:tcPr>
            <w:tcW w:w="1745" w:type="dxa"/>
            <w:shd w:val="clear" w:color="auto" w:fill="9CC2E5" w:themeFill="accent1" w:themeFillTint="99"/>
            <w:vAlign w:val="center"/>
          </w:tcPr>
          <w:p w14:paraId="32A0FFF5" w14:textId="77777777" w:rsidR="00821D60" w:rsidRPr="00FA0091" w:rsidRDefault="00821D60" w:rsidP="00821D60">
            <w:pPr>
              <w:cnfStyle w:val="000000000000" w:firstRow="0" w:lastRow="0" w:firstColumn="0" w:lastColumn="0" w:oddVBand="0" w:evenVBand="0" w:oddHBand="0" w:evenHBand="0" w:firstRowFirstColumn="0" w:firstRowLastColumn="0" w:lastRowFirstColumn="0" w:lastRowLastColumn="0"/>
              <w:rPr>
                <w:b/>
                <w:i/>
                <w:lang w:val="lv-LV"/>
              </w:rPr>
            </w:pPr>
            <w:proofErr w:type="spellStart"/>
            <w:r w:rsidRPr="00FA0091">
              <w:rPr>
                <w:b/>
                <w:i/>
                <w:lang w:val="lv-LV"/>
              </w:rPr>
              <w:t>Saktījums</w:t>
            </w:r>
            <w:proofErr w:type="spellEnd"/>
            <w:r w:rsidRPr="00FA0091">
              <w:rPr>
                <w:b/>
                <w:i/>
                <w:lang w:val="lv-LV"/>
              </w:rPr>
              <w:t xml:space="preserve"> uz to kā mazināt nelikumīgu senlietu iegūšanu</w:t>
            </w:r>
            <w:r w:rsidR="00B93FBC" w:rsidRPr="00FA0091">
              <w:rPr>
                <w:b/>
                <w:i/>
                <w:lang w:val="lv-LV"/>
              </w:rPr>
              <w:t xml:space="preserve"> un</w:t>
            </w:r>
            <w:r w:rsidRPr="00FA0091">
              <w:rPr>
                <w:b/>
                <w:i/>
                <w:lang w:val="lv-LV"/>
              </w:rPr>
              <w:t xml:space="preserve"> tirdzniecību</w:t>
            </w:r>
            <w:r w:rsidR="00B93FBC" w:rsidRPr="00FA0091">
              <w:rPr>
                <w:b/>
                <w:i/>
                <w:lang w:val="lv-LV"/>
              </w:rPr>
              <w:t xml:space="preserve"> (t.sk. viltojumu tirdzniecību)</w:t>
            </w:r>
            <w:r w:rsidRPr="00FA0091">
              <w:rPr>
                <w:b/>
                <w:i/>
                <w:lang w:val="lv-LV"/>
              </w:rPr>
              <w:t>.</w:t>
            </w:r>
          </w:p>
        </w:tc>
        <w:tc>
          <w:tcPr>
            <w:tcW w:w="1908" w:type="dxa"/>
            <w:shd w:val="clear" w:color="auto" w:fill="9CC2E5" w:themeFill="accent1" w:themeFillTint="99"/>
            <w:vAlign w:val="center"/>
          </w:tcPr>
          <w:p w14:paraId="6588327E" w14:textId="77777777" w:rsidR="00821D60" w:rsidRPr="00FA0091" w:rsidRDefault="00821D60" w:rsidP="00821D60">
            <w:pPr>
              <w:cnfStyle w:val="000000000000" w:firstRow="0" w:lastRow="0" w:firstColumn="0" w:lastColumn="0" w:oddVBand="0" w:evenVBand="0" w:oddHBand="0" w:evenHBand="0" w:firstRowFirstColumn="0" w:firstRowLastColumn="0" w:lastRowFirstColumn="0" w:lastRowLastColumn="0"/>
              <w:rPr>
                <w:b/>
                <w:i/>
                <w:lang w:val="lv-LV"/>
              </w:rPr>
            </w:pPr>
            <w:r w:rsidRPr="00FA0091">
              <w:rPr>
                <w:b/>
                <w:i/>
                <w:lang w:val="lv-LV"/>
              </w:rPr>
              <w:t>Nostāja par starptautisku arheologa kvalifikāciju un mobilitāti.</w:t>
            </w:r>
          </w:p>
        </w:tc>
        <w:tc>
          <w:tcPr>
            <w:tcW w:w="1651" w:type="dxa"/>
            <w:shd w:val="clear" w:color="auto" w:fill="9CC2E5" w:themeFill="accent1" w:themeFillTint="99"/>
          </w:tcPr>
          <w:p w14:paraId="3505F978" w14:textId="77777777" w:rsidR="00821D60" w:rsidRPr="00FA0091" w:rsidRDefault="00821D60" w:rsidP="00821D60">
            <w:pPr>
              <w:cnfStyle w:val="000000000000" w:firstRow="0" w:lastRow="0" w:firstColumn="0" w:lastColumn="0" w:oddVBand="0" w:evenVBand="0" w:oddHBand="0" w:evenHBand="0" w:firstRowFirstColumn="0" w:firstRowLastColumn="0" w:lastRowFirstColumn="0" w:lastRowLastColumn="0"/>
              <w:rPr>
                <w:b/>
                <w:i/>
                <w:lang w:val="lv-LV"/>
              </w:rPr>
            </w:pPr>
            <w:r w:rsidRPr="00FA0091">
              <w:rPr>
                <w:b/>
                <w:i/>
                <w:lang w:val="lv-LV"/>
              </w:rPr>
              <w:t>Skatījums uz senlietu un vēsturisko dokumentu attēlu licenzēšanu.</w:t>
            </w:r>
          </w:p>
        </w:tc>
      </w:tr>
      <w:tr w:rsidR="00FD52DF" w:rsidRPr="00FA0091" w14:paraId="5D41E435" w14:textId="77777777" w:rsidTr="00821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2" w:type="dxa"/>
            <w:vAlign w:val="center"/>
          </w:tcPr>
          <w:p w14:paraId="5A015B2B" w14:textId="77777777" w:rsidR="00821D60" w:rsidRPr="00FA0091" w:rsidRDefault="00A60A70" w:rsidP="00821D60">
            <w:pPr>
              <w:pStyle w:val="ListParagraph"/>
              <w:numPr>
                <w:ilvl w:val="0"/>
                <w:numId w:val="1"/>
              </w:numPr>
              <w:rPr>
                <w:lang w:val="lv-LV"/>
              </w:rPr>
            </w:pPr>
            <w:r w:rsidRPr="00FA0091">
              <w:rPr>
                <w:lang w:val="lv-LV"/>
              </w:rPr>
              <w:t>Visu Latvijai!-Tēvzemei un Brīvībai/LNNK</w:t>
            </w:r>
          </w:p>
        </w:tc>
        <w:tc>
          <w:tcPr>
            <w:tcW w:w="1595" w:type="dxa"/>
            <w:vAlign w:val="center"/>
          </w:tcPr>
          <w:p w14:paraId="01136567"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r w:rsidRPr="00FA0091">
              <w:rPr>
                <w:lang w:val="lv-LV"/>
              </w:rPr>
              <w:t xml:space="preserve">Mēs virzīsim stingrāku prasību veikt priekšizpēti mazākiem </w:t>
            </w:r>
            <w:r w:rsidR="00FD52DF" w:rsidRPr="00FA0091">
              <w:rPr>
                <w:lang w:val="lv-LV"/>
              </w:rPr>
              <w:t xml:space="preserve">celtniecības </w:t>
            </w:r>
            <w:r w:rsidRPr="00FA0091">
              <w:rPr>
                <w:lang w:val="lv-LV"/>
              </w:rPr>
              <w:t>projektiem, kam ir iespējama ietekme uz arheoloģiju.</w:t>
            </w:r>
            <w:r w:rsidR="00A60A70" w:rsidRPr="00FA0091">
              <w:rPr>
                <w:lang w:val="lv-LV"/>
              </w:rPr>
              <w:t xml:space="preserve"> </w:t>
            </w:r>
            <w:r w:rsidRPr="00FA0091">
              <w:rPr>
                <w:lang w:val="lv-LV"/>
              </w:rPr>
              <w:t xml:space="preserve">Taču mēs atdzīstam, dažādu valstu procedūru elementi var atšķirties. </w:t>
            </w:r>
          </w:p>
        </w:tc>
        <w:tc>
          <w:tcPr>
            <w:tcW w:w="1875" w:type="dxa"/>
            <w:vAlign w:val="center"/>
          </w:tcPr>
          <w:p w14:paraId="6025DFA8" w14:textId="77777777" w:rsidR="00821D60" w:rsidRPr="00FA0091" w:rsidRDefault="00821D60" w:rsidP="00FD52DF">
            <w:pPr>
              <w:cnfStyle w:val="000000100000" w:firstRow="0" w:lastRow="0" w:firstColumn="0" w:lastColumn="0" w:oddVBand="0" w:evenVBand="0" w:oddHBand="1" w:evenHBand="0" w:firstRowFirstColumn="0" w:firstRowLastColumn="0" w:lastRowFirstColumn="0" w:lastRowLastColumn="0"/>
              <w:rPr>
                <w:lang w:val="lv-LV"/>
              </w:rPr>
            </w:pPr>
            <w:r w:rsidRPr="00FA0091">
              <w:rPr>
                <w:lang w:val="lv-LV"/>
              </w:rPr>
              <w:t>Mēs ierosināsim grozījumus Kopējā Lauksaimniecības Politik</w:t>
            </w:r>
            <w:r w:rsidR="00FD52DF" w:rsidRPr="00FA0091">
              <w:rPr>
                <w:lang w:val="lv-LV"/>
              </w:rPr>
              <w:t>ā. Tajos tiks izmantota plašāka</w:t>
            </w:r>
            <w:r w:rsidRPr="00FA0091">
              <w:rPr>
                <w:lang w:val="lv-LV"/>
              </w:rPr>
              <w:t xml:space="preserve"> ainavas definīcij</w:t>
            </w:r>
            <w:r w:rsidR="00FD52DF" w:rsidRPr="00FA0091">
              <w:rPr>
                <w:lang w:val="lv-LV"/>
              </w:rPr>
              <w:t>a, kas ietver kultūras mantojumu un arheoloģiju</w:t>
            </w:r>
            <w:r w:rsidRPr="00FA0091">
              <w:rPr>
                <w:lang w:val="lv-LV"/>
              </w:rPr>
              <w:t>.</w:t>
            </w:r>
          </w:p>
        </w:tc>
        <w:tc>
          <w:tcPr>
            <w:tcW w:w="1685" w:type="dxa"/>
            <w:vAlign w:val="center"/>
          </w:tcPr>
          <w:p w14:paraId="28021590" w14:textId="77777777" w:rsidR="00821D60" w:rsidRPr="00FA0091" w:rsidRDefault="00821D60" w:rsidP="00FD52DF">
            <w:pPr>
              <w:cnfStyle w:val="000000100000" w:firstRow="0" w:lastRow="0" w:firstColumn="0" w:lastColumn="0" w:oddVBand="0" w:evenVBand="0" w:oddHBand="1" w:evenHBand="0" w:firstRowFirstColumn="0" w:firstRowLastColumn="0" w:lastRowFirstColumn="0" w:lastRowLastColumn="0"/>
              <w:rPr>
                <w:lang w:val="lv-LV"/>
              </w:rPr>
            </w:pPr>
            <w:r w:rsidRPr="00FA0091">
              <w:rPr>
                <w:lang w:val="lv-LV"/>
              </w:rPr>
              <w:t>Mēs atbalstām kopēja ES tiesiskā regulējuma izstrādi, ieviešot stingrākas normas un stingrāku kontroli attiecībā uz privātajā īpašumā esoš</w:t>
            </w:r>
            <w:r w:rsidR="00FD52DF" w:rsidRPr="00FA0091">
              <w:rPr>
                <w:lang w:val="lv-LV"/>
              </w:rPr>
              <w:t>ām arheoloģiskām senlietām</w:t>
            </w:r>
            <w:r w:rsidRPr="00FA0091">
              <w:rPr>
                <w:lang w:val="lv-LV"/>
              </w:rPr>
              <w:t>.</w:t>
            </w:r>
          </w:p>
        </w:tc>
        <w:tc>
          <w:tcPr>
            <w:tcW w:w="2217" w:type="dxa"/>
          </w:tcPr>
          <w:p w14:paraId="7301F8F8"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r w:rsidRPr="00FA0091">
              <w:rPr>
                <w:lang w:val="lv-LV"/>
              </w:rPr>
              <w:t xml:space="preserve">Mēs atbalstām to, ka metāla detektorus arheoloģisko senlietu iegūšanai drīkst izmantot tikai profesionāli arheologi un tikai tad, ja konkrētās ES dalībvalsts kompetentā iestāde ir izsniegusi speciālu licenci. </w:t>
            </w:r>
          </w:p>
        </w:tc>
        <w:tc>
          <w:tcPr>
            <w:tcW w:w="1745" w:type="dxa"/>
            <w:vAlign w:val="center"/>
          </w:tcPr>
          <w:p w14:paraId="2DB9431F"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r w:rsidRPr="00FA0091">
              <w:rPr>
                <w:lang w:val="lv-LV"/>
              </w:rPr>
              <w:t>Mēs nacionālajā līmenī turpināsim stiprināt senlietu aizsardzības un tirgus regulējošās iesaistītas institūcijas.</w:t>
            </w:r>
            <w:r w:rsidR="00A60A70" w:rsidRPr="00FA0091">
              <w:rPr>
                <w:lang w:val="lv-LV"/>
              </w:rPr>
              <w:t xml:space="preserve"> </w:t>
            </w:r>
            <w:r w:rsidRPr="00FA0091">
              <w:rPr>
                <w:lang w:val="lv-LV"/>
              </w:rPr>
              <w:t>Mēs pastiprināsim esošas ES institūcijas kuru mērķis ir koordinēt likumpārkāpumu novēršanu, izmeklēšanu un sodīšanu.</w:t>
            </w:r>
            <w:r w:rsidR="00A60A70" w:rsidRPr="00FA0091">
              <w:rPr>
                <w:lang w:val="lv-LV"/>
              </w:rPr>
              <w:t xml:space="preserve"> </w:t>
            </w:r>
            <w:r w:rsidRPr="00FA0091">
              <w:rPr>
                <w:lang w:val="lv-LV"/>
              </w:rPr>
              <w:t xml:space="preserve">Mēs atbalstīsim pētījumus un informācijas sniegšanu par tēmām saistībā ar kultūras mantojumu </w:t>
            </w:r>
            <w:r w:rsidRPr="00FA0091">
              <w:rPr>
                <w:lang w:val="lv-LV"/>
              </w:rPr>
              <w:lastRenderedPageBreak/>
              <w:t>apdraudošo noziedzību.</w:t>
            </w:r>
          </w:p>
          <w:p w14:paraId="3750CE02"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p>
        </w:tc>
        <w:tc>
          <w:tcPr>
            <w:tcW w:w="1908" w:type="dxa"/>
            <w:vAlign w:val="center"/>
          </w:tcPr>
          <w:p w14:paraId="31FC0316"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r w:rsidRPr="00FA0091">
              <w:rPr>
                <w:lang w:val="lv-LV"/>
              </w:rPr>
              <w:lastRenderedPageBreak/>
              <w:t xml:space="preserve">Mēs rosināsim diskusiju par ES </w:t>
            </w:r>
            <w:r w:rsidR="00FD52DF" w:rsidRPr="00FA0091">
              <w:rPr>
                <w:lang w:val="lv-LV"/>
              </w:rPr>
              <w:t xml:space="preserve">līmenī </w:t>
            </w:r>
            <w:r w:rsidRPr="00FA0091">
              <w:rPr>
                <w:lang w:val="lv-LV"/>
              </w:rPr>
              <w:t>piemērojamu “arheologa” juridisku definīciju.</w:t>
            </w:r>
          </w:p>
        </w:tc>
        <w:tc>
          <w:tcPr>
            <w:tcW w:w="1651" w:type="dxa"/>
          </w:tcPr>
          <w:p w14:paraId="2C0F2D19"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r w:rsidRPr="00FA0091">
              <w:rPr>
                <w:lang w:val="lv-LV"/>
              </w:rPr>
              <w:t xml:space="preserve">Pēc pieprasījuma, ir jāpiešķir bezmaksas piekļuve </w:t>
            </w:r>
            <w:r w:rsidR="00FD52DF" w:rsidRPr="00FA0091">
              <w:rPr>
                <w:lang w:val="lv-LV"/>
              </w:rPr>
              <w:t>senlietu</w:t>
            </w:r>
            <w:r w:rsidRPr="00FA0091">
              <w:rPr>
                <w:lang w:val="lv-LV"/>
              </w:rPr>
              <w:t>, vēsturisko dokumentu un plānu attēliem, kas atrodas publiskās vai bezpeļņas kolekcijās.</w:t>
            </w:r>
            <w:r w:rsidR="00A60A70" w:rsidRPr="00FA0091">
              <w:rPr>
                <w:lang w:val="lv-LV"/>
              </w:rPr>
              <w:t xml:space="preserve"> </w:t>
            </w:r>
            <w:r w:rsidRPr="00FA0091">
              <w:rPr>
                <w:lang w:val="lv-LV"/>
              </w:rPr>
              <w:t>Iespējams pieprasīt segt acīmredzami saistītās izmaksas. Mēs iniciēsim normatīvo aktu un prakses harmonizēšanu visās ES valstis.</w:t>
            </w:r>
          </w:p>
        </w:tc>
      </w:tr>
      <w:tr w:rsidR="00FD52DF" w:rsidRPr="00FA0091" w14:paraId="1EFA69EA" w14:textId="77777777" w:rsidTr="00821D60">
        <w:tc>
          <w:tcPr>
            <w:cnfStyle w:val="001000000000" w:firstRow="0" w:lastRow="0" w:firstColumn="1" w:lastColumn="0" w:oddVBand="0" w:evenVBand="0" w:oddHBand="0" w:evenHBand="0" w:firstRowFirstColumn="0" w:firstRowLastColumn="0" w:lastRowFirstColumn="0" w:lastRowLastColumn="0"/>
            <w:tcW w:w="2712" w:type="dxa"/>
            <w:vAlign w:val="center"/>
          </w:tcPr>
          <w:p w14:paraId="43DCB413" w14:textId="77777777" w:rsidR="00821D60" w:rsidRPr="00FA0091" w:rsidRDefault="00821D60" w:rsidP="00821D60">
            <w:pPr>
              <w:pStyle w:val="ListParagraph"/>
              <w:numPr>
                <w:ilvl w:val="0"/>
                <w:numId w:val="1"/>
              </w:numPr>
              <w:rPr>
                <w:lang w:val="lv-LV"/>
              </w:rPr>
            </w:pPr>
            <w:r w:rsidRPr="00FA0091">
              <w:rPr>
                <w:lang w:val="lv-LV"/>
              </w:rPr>
              <w:t>Atmoda</w:t>
            </w:r>
          </w:p>
        </w:tc>
        <w:tc>
          <w:tcPr>
            <w:tcW w:w="1595" w:type="dxa"/>
            <w:vAlign w:val="center"/>
          </w:tcPr>
          <w:p w14:paraId="04F5092F" w14:textId="77777777" w:rsidR="00821D60" w:rsidRPr="00FA0091" w:rsidRDefault="00821D60" w:rsidP="00821D60">
            <w:pPr>
              <w:cnfStyle w:val="000000000000" w:firstRow="0" w:lastRow="0" w:firstColumn="0" w:lastColumn="0" w:oddVBand="0" w:evenVBand="0" w:oddHBand="0" w:evenHBand="0" w:firstRowFirstColumn="0" w:firstRowLastColumn="0" w:lastRowFirstColumn="0" w:lastRowLastColumn="0"/>
              <w:rPr>
                <w:lang w:val="lv-LV"/>
              </w:rPr>
            </w:pPr>
            <w:r w:rsidRPr="00FA0091">
              <w:rPr>
                <w:lang w:val="lv-LV"/>
              </w:rPr>
              <w:t>Vispārīga atbilde</w:t>
            </w:r>
          </w:p>
        </w:tc>
        <w:tc>
          <w:tcPr>
            <w:tcW w:w="1875" w:type="dxa"/>
            <w:vAlign w:val="center"/>
          </w:tcPr>
          <w:p w14:paraId="476E001A" w14:textId="77777777" w:rsidR="00821D60" w:rsidRPr="00FA0091" w:rsidRDefault="00821D60" w:rsidP="00821D60">
            <w:pPr>
              <w:cnfStyle w:val="000000000000" w:firstRow="0" w:lastRow="0" w:firstColumn="0" w:lastColumn="0" w:oddVBand="0" w:evenVBand="0" w:oddHBand="0" w:evenHBand="0" w:firstRowFirstColumn="0" w:firstRowLastColumn="0" w:lastRowFirstColumn="0" w:lastRowLastColumn="0"/>
              <w:rPr>
                <w:lang w:val="lv-LV"/>
              </w:rPr>
            </w:pPr>
            <w:r w:rsidRPr="00FA0091">
              <w:rPr>
                <w:lang w:val="lv-LV"/>
              </w:rPr>
              <w:t>Vispārīga atbilde</w:t>
            </w:r>
          </w:p>
        </w:tc>
        <w:tc>
          <w:tcPr>
            <w:tcW w:w="1685" w:type="dxa"/>
            <w:vAlign w:val="center"/>
          </w:tcPr>
          <w:p w14:paraId="6206CFD7" w14:textId="77777777" w:rsidR="00821D60" w:rsidRPr="00FA0091" w:rsidRDefault="00821D60" w:rsidP="00821D60">
            <w:pPr>
              <w:cnfStyle w:val="000000000000" w:firstRow="0" w:lastRow="0" w:firstColumn="0" w:lastColumn="0" w:oddVBand="0" w:evenVBand="0" w:oddHBand="0" w:evenHBand="0" w:firstRowFirstColumn="0" w:firstRowLastColumn="0" w:lastRowFirstColumn="0" w:lastRowLastColumn="0"/>
              <w:rPr>
                <w:lang w:val="lv-LV"/>
              </w:rPr>
            </w:pPr>
            <w:r w:rsidRPr="00FA0091">
              <w:rPr>
                <w:lang w:val="lv-LV"/>
              </w:rPr>
              <w:t>Vispārīga atbilde</w:t>
            </w:r>
          </w:p>
        </w:tc>
        <w:tc>
          <w:tcPr>
            <w:tcW w:w="2217" w:type="dxa"/>
          </w:tcPr>
          <w:p w14:paraId="3A60689C" w14:textId="77777777" w:rsidR="00821D60" w:rsidRPr="00FA0091" w:rsidRDefault="00821D60" w:rsidP="00821D60">
            <w:pPr>
              <w:cnfStyle w:val="000000000000" w:firstRow="0" w:lastRow="0" w:firstColumn="0" w:lastColumn="0" w:oddVBand="0" w:evenVBand="0" w:oddHBand="0" w:evenHBand="0" w:firstRowFirstColumn="0" w:firstRowLastColumn="0" w:lastRowFirstColumn="0" w:lastRowLastColumn="0"/>
              <w:rPr>
                <w:lang w:val="lv-LV"/>
              </w:rPr>
            </w:pPr>
            <w:r w:rsidRPr="00FA0091">
              <w:rPr>
                <w:lang w:val="lv-LV"/>
              </w:rPr>
              <w:t>Vispārīga atbilde</w:t>
            </w:r>
          </w:p>
        </w:tc>
        <w:tc>
          <w:tcPr>
            <w:tcW w:w="1745" w:type="dxa"/>
            <w:vAlign w:val="center"/>
          </w:tcPr>
          <w:p w14:paraId="1F9A0C07" w14:textId="77777777" w:rsidR="00821D60" w:rsidRPr="00FA0091" w:rsidRDefault="00821D60" w:rsidP="00821D60">
            <w:pPr>
              <w:cnfStyle w:val="000000000000" w:firstRow="0" w:lastRow="0" w:firstColumn="0" w:lastColumn="0" w:oddVBand="0" w:evenVBand="0" w:oddHBand="0" w:evenHBand="0" w:firstRowFirstColumn="0" w:firstRowLastColumn="0" w:lastRowFirstColumn="0" w:lastRowLastColumn="0"/>
              <w:rPr>
                <w:lang w:val="lv-LV"/>
              </w:rPr>
            </w:pPr>
            <w:r w:rsidRPr="00FA0091">
              <w:rPr>
                <w:lang w:val="lv-LV"/>
              </w:rPr>
              <w:t>Vispārīga atbilde</w:t>
            </w:r>
          </w:p>
        </w:tc>
        <w:tc>
          <w:tcPr>
            <w:tcW w:w="1908" w:type="dxa"/>
            <w:vAlign w:val="center"/>
          </w:tcPr>
          <w:p w14:paraId="73CC3CD6" w14:textId="77777777" w:rsidR="00821D60" w:rsidRPr="00FA0091" w:rsidRDefault="00821D60" w:rsidP="00821D60">
            <w:pPr>
              <w:cnfStyle w:val="000000000000" w:firstRow="0" w:lastRow="0" w:firstColumn="0" w:lastColumn="0" w:oddVBand="0" w:evenVBand="0" w:oddHBand="0" w:evenHBand="0" w:firstRowFirstColumn="0" w:firstRowLastColumn="0" w:lastRowFirstColumn="0" w:lastRowLastColumn="0"/>
              <w:rPr>
                <w:lang w:val="lv-LV"/>
              </w:rPr>
            </w:pPr>
            <w:r w:rsidRPr="00FA0091">
              <w:rPr>
                <w:lang w:val="lv-LV"/>
              </w:rPr>
              <w:t>Vispārīga atbilde</w:t>
            </w:r>
          </w:p>
        </w:tc>
        <w:tc>
          <w:tcPr>
            <w:tcW w:w="1651" w:type="dxa"/>
          </w:tcPr>
          <w:p w14:paraId="7D46C4D7" w14:textId="77777777" w:rsidR="00821D60" w:rsidRPr="00FA0091" w:rsidRDefault="00821D60" w:rsidP="00821D60">
            <w:pPr>
              <w:cnfStyle w:val="000000000000" w:firstRow="0" w:lastRow="0" w:firstColumn="0" w:lastColumn="0" w:oddVBand="0" w:evenVBand="0" w:oddHBand="0" w:evenHBand="0" w:firstRowFirstColumn="0" w:firstRowLastColumn="0" w:lastRowFirstColumn="0" w:lastRowLastColumn="0"/>
              <w:rPr>
                <w:lang w:val="lv-LV"/>
              </w:rPr>
            </w:pPr>
            <w:r w:rsidRPr="00FA0091">
              <w:rPr>
                <w:lang w:val="lv-LV"/>
              </w:rPr>
              <w:t>Vispārīga atbilde</w:t>
            </w:r>
          </w:p>
        </w:tc>
      </w:tr>
      <w:tr w:rsidR="006C58EB" w:rsidRPr="00FA0091" w14:paraId="05C6D988" w14:textId="77777777" w:rsidTr="00821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2" w:type="dxa"/>
            <w:vAlign w:val="center"/>
          </w:tcPr>
          <w:p w14:paraId="07BDE897" w14:textId="77777777" w:rsidR="00821D60" w:rsidRPr="00FA0091" w:rsidRDefault="00821D60" w:rsidP="00821D60">
            <w:pPr>
              <w:pStyle w:val="ListParagraph"/>
              <w:numPr>
                <w:ilvl w:val="0"/>
                <w:numId w:val="1"/>
              </w:numPr>
              <w:rPr>
                <w:lang w:val="lv-LV"/>
              </w:rPr>
            </w:pPr>
            <w:r w:rsidRPr="00FA0091">
              <w:rPr>
                <w:lang w:val="lv-LV"/>
              </w:rPr>
              <w:t>Jaunā VIENOTĪBA</w:t>
            </w:r>
          </w:p>
        </w:tc>
        <w:tc>
          <w:tcPr>
            <w:tcW w:w="1595" w:type="dxa"/>
            <w:vAlign w:val="center"/>
          </w:tcPr>
          <w:p w14:paraId="1B908D46"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r w:rsidRPr="00FA0091">
              <w:rPr>
                <w:lang w:val="lv-LV"/>
              </w:rPr>
              <w:t xml:space="preserve">Mēs paplašināsim ES IVN (Ietekmes uz Vidi Novērtējums) direktīvas un ierobežosim iespējas svītrot mazāka izmēra </w:t>
            </w:r>
            <w:r w:rsidR="00FD52DF" w:rsidRPr="00FA0091">
              <w:rPr>
                <w:lang w:val="lv-LV"/>
              </w:rPr>
              <w:t xml:space="preserve">celtniecības </w:t>
            </w:r>
            <w:r w:rsidRPr="00FA0091">
              <w:rPr>
                <w:lang w:val="lv-LV"/>
              </w:rPr>
              <w:t>projektus no IVN pārbaudes.</w:t>
            </w:r>
          </w:p>
          <w:p w14:paraId="1388748C"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p>
        </w:tc>
        <w:tc>
          <w:tcPr>
            <w:tcW w:w="1875" w:type="dxa"/>
            <w:vAlign w:val="center"/>
          </w:tcPr>
          <w:p w14:paraId="74EBE896"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r w:rsidRPr="00FA0091">
              <w:rPr>
                <w:lang w:val="lv-LV"/>
              </w:rPr>
              <w:t xml:space="preserve">Mēs uzskatām pašreizējās ES konvencijas un nacionālo likumdošana pietiekami aizsargā vēsturisko ainavu. Nevēlamies saistīt kopējo lauksaimniecības politiku un tās instrumentus ar ainavas, arheoloģiskā un kultūras mantojuma aizsardzību. </w:t>
            </w:r>
            <w:r w:rsidR="00A60A70" w:rsidRPr="00FA0091">
              <w:rPr>
                <w:lang w:val="lv-LV"/>
              </w:rPr>
              <w:t xml:space="preserve"> </w:t>
            </w:r>
            <w:r w:rsidRPr="00FA0091">
              <w:rPr>
                <w:lang w:val="lv-LV"/>
              </w:rPr>
              <w:t>Mēs uzskatām, ka vēsturiskās ainavas saglabāšana ir nacionāls jautājums.</w:t>
            </w:r>
          </w:p>
        </w:tc>
        <w:tc>
          <w:tcPr>
            <w:tcW w:w="1685" w:type="dxa"/>
            <w:vAlign w:val="center"/>
          </w:tcPr>
          <w:p w14:paraId="1946B882"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r w:rsidRPr="00FA0091">
              <w:rPr>
                <w:lang w:val="lv-LV"/>
              </w:rPr>
              <w:t>Mēs uzskatām, ka nacionālā likumdošana ir pilnveidojama tā, lai zemes dzīles būtu nacionālais vai komunālais īpašums.</w:t>
            </w:r>
            <w:r w:rsidR="00A60A70" w:rsidRPr="00FA0091">
              <w:rPr>
                <w:lang w:val="lv-LV"/>
              </w:rPr>
              <w:t xml:space="preserve"> </w:t>
            </w:r>
            <w:r w:rsidRPr="00FA0091">
              <w:rPr>
                <w:lang w:val="lv-LV"/>
              </w:rPr>
              <w:t>Mēs atbalstām stingrāku kontroli</w:t>
            </w:r>
            <w:r w:rsidR="00FD52DF" w:rsidRPr="00FA0091">
              <w:rPr>
                <w:lang w:val="lv-LV"/>
              </w:rPr>
              <w:t xml:space="preserve"> pār arheoloģiskām senlietām</w:t>
            </w:r>
            <w:r w:rsidRPr="00FA0091">
              <w:rPr>
                <w:lang w:val="lv-LV"/>
              </w:rPr>
              <w:t>, taču uzsveram, ka vispārēja cilvēces mantojuma saglabāšana nevar notikt bez sabiedrības atbalsta.</w:t>
            </w:r>
          </w:p>
          <w:p w14:paraId="49210A00"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p>
        </w:tc>
        <w:tc>
          <w:tcPr>
            <w:tcW w:w="2217" w:type="dxa"/>
            <w:vAlign w:val="center"/>
          </w:tcPr>
          <w:p w14:paraId="13897360"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sz w:val="23"/>
                <w:szCs w:val="23"/>
                <w:lang w:val="lv-LV"/>
              </w:rPr>
            </w:pPr>
            <w:r w:rsidRPr="00FA0091">
              <w:rPr>
                <w:sz w:val="23"/>
                <w:szCs w:val="23"/>
                <w:lang w:val="lv-LV"/>
              </w:rPr>
              <w:t xml:space="preserve">Mēs atbalstām, ka atrasties ar metāla detektoru nacionālas un vietējas nozīmes arheoloģijas pieminekļa tuvumā ir nelegāli. Taču mēs uzskatām, ka metāla detektoru īpaša ierobežošana nebūs pietiekami mērķtiecīga, jo ir pieejami citi zemes skenēšanas darbarīki. </w:t>
            </w:r>
            <w:r w:rsidR="00A60A70" w:rsidRPr="00FA0091">
              <w:rPr>
                <w:sz w:val="23"/>
                <w:szCs w:val="23"/>
                <w:lang w:val="lv-LV"/>
              </w:rPr>
              <w:t xml:space="preserve"> </w:t>
            </w:r>
            <w:r w:rsidRPr="00FA0091">
              <w:rPr>
                <w:lang w:val="lv-LV"/>
              </w:rPr>
              <w:t>Vispārējā metāla detektoru licencēšanu būtu nesamērīga iejaukšanās privātajā dzīvē.</w:t>
            </w:r>
          </w:p>
        </w:tc>
        <w:tc>
          <w:tcPr>
            <w:tcW w:w="1745" w:type="dxa"/>
            <w:vAlign w:val="center"/>
          </w:tcPr>
          <w:p w14:paraId="1B1BE765"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r w:rsidRPr="00FA0091">
              <w:rPr>
                <w:lang w:val="lv-LV"/>
              </w:rPr>
              <w:t>Mēs uzskatām, ka likumpārkāpumu izmeklēšana, kriminālvajāšana un sodīšana par arheoloģisko un citu kultūras priekšmetu nelikumīgu iegūšanu un tirdzniecību ir nacionālā kompetence.</w:t>
            </w:r>
            <w:r w:rsidR="0002439B" w:rsidRPr="00FA0091">
              <w:rPr>
                <w:lang w:val="lv-LV"/>
              </w:rPr>
              <w:t xml:space="preserve"> </w:t>
            </w:r>
            <w:r w:rsidRPr="00FA0091">
              <w:rPr>
                <w:lang w:val="lv-LV"/>
              </w:rPr>
              <w:t xml:space="preserve">Mēs uzskatām, ka ir radikāli maināma Latvijas nacionālas kultūras mantojuma pārvaldes līdzšinējā prakse nacionālās un vietējās nozīmes kultūras mantojuma noteikšanas procedūrai un aizsardzībai, veltot tam vairāk materiālo resursu un </w:t>
            </w:r>
            <w:r w:rsidRPr="00FA0091">
              <w:rPr>
                <w:lang w:val="lv-LV"/>
              </w:rPr>
              <w:lastRenderedPageBreak/>
              <w:t>veicinot atbilstošu elementu iekļaušanu universitāšu un vispārējās izglītības programmās.</w:t>
            </w:r>
          </w:p>
        </w:tc>
        <w:tc>
          <w:tcPr>
            <w:tcW w:w="1908" w:type="dxa"/>
            <w:vAlign w:val="center"/>
          </w:tcPr>
          <w:p w14:paraId="1888C60A"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r w:rsidRPr="00FA0091">
              <w:rPr>
                <w:lang w:val="lv-LV"/>
              </w:rPr>
              <w:lastRenderedPageBreak/>
              <w:t>Mēs kategoriski iebilstam pret ES līmeņa likumu, politikas un prakses standartizāciju arheoloģiskā mantojuma pārvaldībā un atstājam studiju programmas Latvijas universitāšu ziņā.</w:t>
            </w:r>
            <w:r w:rsidR="0002439B" w:rsidRPr="00FA0091">
              <w:rPr>
                <w:lang w:val="lv-LV"/>
              </w:rPr>
              <w:t xml:space="preserve"> </w:t>
            </w:r>
            <w:r w:rsidRPr="00FA0091">
              <w:rPr>
                <w:lang w:val="lv-LV"/>
              </w:rPr>
              <w:t>Mēs neatbalstām citu dalībvalstu privātu komercsabiedrību arheoloģijā Latvijas Republikas teritorijā, neatbalstām mobilitāti.</w:t>
            </w:r>
          </w:p>
        </w:tc>
        <w:tc>
          <w:tcPr>
            <w:tcW w:w="1651" w:type="dxa"/>
          </w:tcPr>
          <w:p w14:paraId="522237E3" w14:textId="77777777" w:rsidR="00821D60" w:rsidRPr="00FA0091" w:rsidRDefault="00821D60" w:rsidP="00821D60">
            <w:pPr>
              <w:cnfStyle w:val="000000100000" w:firstRow="0" w:lastRow="0" w:firstColumn="0" w:lastColumn="0" w:oddVBand="0" w:evenVBand="0" w:oddHBand="1" w:evenHBand="0" w:firstRowFirstColumn="0" w:firstRowLastColumn="0" w:lastRowFirstColumn="0" w:lastRowLastColumn="0"/>
              <w:rPr>
                <w:lang w:val="lv-LV"/>
              </w:rPr>
            </w:pPr>
            <w:r w:rsidRPr="00FA0091">
              <w:rPr>
                <w:lang w:val="lv-LV"/>
              </w:rPr>
              <w:t>Nav atbildes</w:t>
            </w:r>
          </w:p>
        </w:tc>
      </w:tr>
    </w:tbl>
    <w:p w14:paraId="3893F69F" w14:textId="77777777" w:rsidR="00821D60" w:rsidRPr="00FA0091" w:rsidRDefault="00821D60">
      <w:pPr>
        <w:rPr>
          <w:lang w:val="lv-LV"/>
        </w:rPr>
      </w:pPr>
    </w:p>
    <w:p w14:paraId="1F68FECA" w14:textId="77777777" w:rsidR="00821D60" w:rsidRPr="00FA0091" w:rsidRDefault="00821D60">
      <w:pPr>
        <w:rPr>
          <w:lang w:val="lv-LV"/>
        </w:rPr>
      </w:pPr>
    </w:p>
    <w:sectPr w:rsidR="00821D60" w:rsidRPr="00FA0091" w:rsidSect="008218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213F6"/>
    <w:multiLevelType w:val="hybridMultilevel"/>
    <w:tmpl w:val="01743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77"/>
    <w:rsid w:val="0002439B"/>
    <w:rsid w:val="0005562F"/>
    <w:rsid w:val="00193C29"/>
    <w:rsid w:val="00244DAC"/>
    <w:rsid w:val="00246D41"/>
    <w:rsid w:val="00344628"/>
    <w:rsid w:val="00383CCB"/>
    <w:rsid w:val="004538B9"/>
    <w:rsid w:val="00497FB9"/>
    <w:rsid w:val="00501CB0"/>
    <w:rsid w:val="00557E54"/>
    <w:rsid w:val="00571B77"/>
    <w:rsid w:val="00583807"/>
    <w:rsid w:val="006C58EB"/>
    <w:rsid w:val="006F772A"/>
    <w:rsid w:val="0076167C"/>
    <w:rsid w:val="008218A7"/>
    <w:rsid w:val="00821D60"/>
    <w:rsid w:val="00875D32"/>
    <w:rsid w:val="00A40D9F"/>
    <w:rsid w:val="00A60A70"/>
    <w:rsid w:val="00AF75B1"/>
    <w:rsid w:val="00B93FBC"/>
    <w:rsid w:val="00B94549"/>
    <w:rsid w:val="00C30244"/>
    <w:rsid w:val="00C458BD"/>
    <w:rsid w:val="00C67420"/>
    <w:rsid w:val="00C926D9"/>
    <w:rsid w:val="00CC5567"/>
    <w:rsid w:val="00E10E96"/>
    <w:rsid w:val="00FA0091"/>
    <w:rsid w:val="00FB2318"/>
    <w:rsid w:val="00FD4245"/>
    <w:rsid w:val="00FD52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9F7D"/>
  <w15:docId w15:val="{3562BDED-8147-4139-8095-311F8663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51">
    <w:name w:val="Grid Table 3 - Accent 51"/>
    <w:basedOn w:val="TableNormal"/>
    <w:uiPriority w:val="48"/>
    <w:rsid w:val="00497FB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5Dark-Accent21">
    <w:name w:val="Grid Table 5 Dark - Accent 21"/>
    <w:basedOn w:val="TableNormal"/>
    <w:uiPriority w:val="50"/>
    <w:rsid w:val="00497F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497F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11">
    <w:name w:val="Grid Table 5 Dark - Accent 11"/>
    <w:basedOn w:val="TableNormal"/>
    <w:uiPriority w:val="50"/>
    <w:rsid w:val="00497F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yperlink">
    <w:name w:val="Hyperlink"/>
    <w:basedOn w:val="DefaultParagraphFont"/>
    <w:uiPriority w:val="99"/>
    <w:semiHidden/>
    <w:unhideWhenUsed/>
    <w:rsid w:val="00497FB9"/>
    <w:rPr>
      <w:color w:val="0000FF"/>
      <w:u w:val="single"/>
    </w:rPr>
  </w:style>
  <w:style w:type="paragraph" w:styleId="ListParagraph">
    <w:name w:val="List Paragraph"/>
    <w:basedOn w:val="Normal"/>
    <w:uiPriority w:val="34"/>
    <w:qFormat/>
    <w:rsid w:val="00497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DEC9-0EBC-4EEB-95B5-7A2A0B84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5182</Characters>
  <Application>Microsoft Office Word</Application>
  <DocSecurity>0</DocSecurity>
  <Lines>43</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 un padotībā esošās iestādes</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Šulte</dc:creator>
  <cp:lastModifiedBy>user</cp:lastModifiedBy>
  <cp:revision>2</cp:revision>
  <dcterms:created xsi:type="dcterms:W3CDTF">2019-04-23T12:19:00Z</dcterms:created>
  <dcterms:modified xsi:type="dcterms:W3CDTF">2019-04-23T12:19:00Z</dcterms:modified>
</cp:coreProperties>
</file>